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任晓东</w:t>
      </w:r>
      <w:r>
        <w:rPr>
          <w:rFonts w:hint="eastAsia"/>
          <w:sz w:val="15"/>
          <w:szCs w:val="15"/>
          <w:highlight w:val="none"/>
        </w:rPr>
        <w:t>，</w:t>
      </w:r>
      <w:r>
        <w:rPr>
          <w:rFonts w:hint="eastAsia"/>
          <w:sz w:val="15"/>
          <w:szCs w:val="15"/>
          <w:highlight w:val="none"/>
          <w:lang w:val="en-US" w:eastAsia="zh-CN"/>
        </w:rPr>
        <w:t>130131200312133351</w:t>
      </w:r>
      <w:r>
        <w:rPr>
          <w:rFonts w:hint="eastAsia"/>
          <w:sz w:val="15"/>
          <w:szCs w:val="15"/>
        </w:rPr>
        <w:t xml:space="preserve">  </w:t>
      </w:r>
      <w:r>
        <w:rPr>
          <w:rFonts w:hint="eastAsia"/>
          <w:sz w:val="15"/>
          <w:szCs w:val="15"/>
          <w:lang w:val="en-US" w:eastAsia="zh-CN"/>
        </w:rPr>
        <w:t>冀A327AM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