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茹晓杰</w:t>
      </w:r>
      <w:r>
        <w:rPr>
          <w:rFonts w:hint="eastAsia"/>
          <w:sz w:val="15"/>
          <w:szCs w:val="15"/>
          <w:highlight w:val="none"/>
        </w:rPr>
        <w:t>，</w:t>
      </w:r>
      <w:r>
        <w:rPr>
          <w:rFonts w:hint="eastAsia"/>
          <w:sz w:val="15"/>
          <w:szCs w:val="15"/>
          <w:highlight w:val="none"/>
          <w:lang w:val="en-US" w:eastAsia="zh-CN"/>
        </w:rPr>
        <w:t>130131199506044212</w:t>
      </w:r>
      <w:r>
        <w:rPr>
          <w:rFonts w:hint="eastAsia"/>
          <w:sz w:val="15"/>
          <w:szCs w:val="15"/>
        </w:rPr>
        <w:t xml:space="preserve">  </w:t>
      </w:r>
      <w:r>
        <w:rPr>
          <w:rFonts w:hint="eastAsia"/>
          <w:sz w:val="15"/>
          <w:szCs w:val="15"/>
          <w:lang w:val="en-US" w:eastAsia="zh-CN"/>
        </w:rPr>
        <w:t>冀A954BF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