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商敏</w:t>
      </w:r>
      <w:r>
        <w:rPr>
          <w:rFonts w:hint="eastAsia"/>
          <w:sz w:val="15"/>
          <w:szCs w:val="15"/>
          <w:highlight w:val="none"/>
        </w:rPr>
        <w:t>，</w:t>
      </w:r>
      <w:r>
        <w:rPr>
          <w:rFonts w:hint="eastAsia"/>
          <w:sz w:val="15"/>
          <w:szCs w:val="15"/>
          <w:highlight w:val="none"/>
          <w:lang w:val="en-US" w:eastAsia="zh-CN"/>
        </w:rPr>
        <w:t>13013119950124002X</w:t>
      </w:r>
      <w:r>
        <w:rPr>
          <w:rFonts w:hint="eastAsia"/>
          <w:sz w:val="15"/>
          <w:szCs w:val="15"/>
        </w:rPr>
        <w:t xml:space="preserve">  </w:t>
      </w:r>
      <w:r>
        <w:rPr>
          <w:rFonts w:hint="eastAsia"/>
          <w:sz w:val="15"/>
          <w:szCs w:val="15"/>
          <w:lang w:val="en-US" w:eastAsia="zh-CN"/>
        </w:rPr>
        <w:t>冀A04123D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