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弓春辉</w:t>
      </w:r>
      <w:r>
        <w:rPr>
          <w:rFonts w:hint="eastAsia"/>
          <w:sz w:val="15"/>
          <w:szCs w:val="15"/>
          <w:highlight w:val="none"/>
        </w:rPr>
        <w:t>，</w:t>
      </w:r>
      <w:r>
        <w:rPr>
          <w:rFonts w:hint="eastAsia"/>
          <w:sz w:val="15"/>
          <w:szCs w:val="15"/>
          <w:highlight w:val="none"/>
          <w:lang w:val="en-US" w:eastAsia="zh-CN"/>
        </w:rPr>
        <w:t>130131199402283913</w:t>
      </w:r>
      <w:r>
        <w:rPr>
          <w:rFonts w:hint="eastAsia"/>
          <w:sz w:val="15"/>
          <w:szCs w:val="15"/>
        </w:rPr>
        <w:t xml:space="preserve">  </w:t>
      </w:r>
      <w:r>
        <w:rPr>
          <w:rFonts w:hint="eastAsia"/>
          <w:sz w:val="15"/>
          <w:szCs w:val="15"/>
          <w:lang w:val="en-US" w:eastAsia="zh-CN"/>
        </w:rPr>
        <w:t>冀T06838D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