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李杰凡</w:t>
      </w:r>
      <w:r>
        <w:rPr>
          <w:rFonts w:hint="eastAsia"/>
          <w:sz w:val="15"/>
          <w:szCs w:val="15"/>
          <w:highlight w:val="none"/>
        </w:rPr>
        <w:t>，</w:t>
      </w:r>
      <w:r>
        <w:rPr>
          <w:rFonts w:hint="eastAsia"/>
          <w:sz w:val="15"/>
          <w:szCs w:val="15"/>
          <w:highlight w:val="none"/>
          <w:lang w:val="en-US" w:eastAsia="zh-CN"/>
        </w:rPr>
        <w:t>13013119931023062X</w:t>
      </w:r>
      <w:r>
        <w:rPr>
          <w:rFonts w:hint="eastAsia"/>
          <w:sz w:val="15"/>
          <w:szCs w:val="15"/>
        </w:rPr>
        <w:t xml:space="preserve">  </w:t>
      </w:r>
      <w:r>
        <w:rPr>
          <w:rFonts w:hint="eastAsia"/>
          <w:sz w:val="15"/>
          <w:szCs w:val="15"/>
          <w:lang w:val="en-US" w:eastAsia="zh-CN"/>
        </w:rPr>
        <w:t>冀A75192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