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王晓光</w:t>
      </w:r>
      <w:r>
        <w:rPr>
          <w:rFonts w:hint="eastAsia"/>
          <w:sz w:val="15"/>
          <w:szCs w:val="15"/>
          <w:highlight w:val="none"/>
        </w:rPr>
        <w:t>，</w:t>
      </w:r>
      <w:r>
        <w:rPr>
          <w:rFonts w:hint="eastAsia"/>
          <w:sz w:val="15"/>
          <w:szCs w:val="15"/>
          <w:highlight w:val="none"/>
          <w:lang w:val="en-US" w:eastAsia="zh-CN"/>
        </w:rPr>
        <w:t>130131199307090013</w:t>
      </w:r>
      <w:r>
        <w:rPr>
          <w:rFonts w:hint="eastAsia"/>
          <w:sz w:val="15"/>
          <w:szCs w:val="15"/>
        </w:rPr>
        <w:t xml:space="preserve">  </w:t>
      </w:r>
      <w:r>
        <w:rPr>
          <w:rFonts w:hint="eastAsia"/>
          <w:sz w:val="15"/>
          <w:szCs w:val="15"/>
          <w:lang w:val="en-US" w:eastAsia="zh-CN"/>
        </w:rPr>
        <w:t>冀A40801D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