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齐潘桃</w:t>
      </w:r>
      <w:r>
        <w:rPr>
          <w:rFonts w:hint="eastAsia"/>
          <w:sz w:val="15"/>
          <w:szCs w:val="15"/>
          <w:highlight w:val="none"/>
        </w:rPr>
        <w:t>，</w:t>
      </w:r>
      <w:r>
        <w:rPr>
          <w:rFonts w:hint="eastAsia"/>
          <w:sz w:val="15"/>
          <w:szCs w:val="15"/>
          <w:highlight w:val="none"/>
          <w:lang w:val="en-US" w:eastAsia="zh-CN"/>
        </w:rPr>
        <w:t>130131199205200082</w:t>
      </w:r>
      <w:r>
        <w:rPr>
          <w:rFonts w:hint="eastAsia"/>
          <w:sz w:val="15"/>
          <w:szCs w:val="15"/>
        </w:rPr>
        <w:t xml:space="preserve">  </w:t>
      </w:r>
      <w:r>
        <w:rPr>
          <w:rFonts w:hint="eastAsia"/>
          <w:sz w:val="15"/>
          <w:szCs w:val="15"/>
          <w:lang w:val="en-US" w:eastAsia="zh-CN"/>
        </w:rPr>
        <w:t>冀A661AY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