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韩英刚</w:t>
      </w:r>
      <w:r>
        <w:rPr>
          <w:rFonts w:hint="eastAsia"/>
          <w:sz w:val="15"/>
          <w:szCs w:val="15"/>
          <w:highlight w:val="none"/>
        </w:rPr>
        <w:t>，</w:t>
      </w:r>
      <w:r>
        <w:rPr>
          <w:rFonts w:hint="eastAsia"/>
          <w:sz w:val="15"/>
          <w:szCs w:val="15"/>
          <w:highlight w:val="none"/>
          <w:lang w:val="en-US" w:eastAsia="zh-CN"/>
        </w:rPr>
        <w:t>130131199205011513</w:t>
      </w:r>
      <w:r>
        <w:rPr>
          <w:rFonts w:hint="eastAsia"/>
          <w:sz w:val="15"/>
          <w:szCs w:val="15"/>
        </w:rPr>
        <w:t xml:space="preserve">  </w:t>
      </w:r>
      <w:r>
        <w:rPr>
          <w:rFonts w:hint="eastAsia"/>
          <w:sz w:val="15"/>
          <w:szCs w:val="15"/>
          <w:lang w:val="en-US" w:eastAsia="zh-CN"/>
        </w:rPr>
        <w:t>冀A5565W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