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樊立千</w:t>
      </w:r>
      <w:r>
        <w:rPr>
          <w:rFonts w:hint="eastAsia"/>
          <w:sz w:val="15"/>
          <w:szCs w:val="15"/>
          <w:highlight w:val="none"/>
        </w:rPr>
        <w:t>，</w:t>
      </w:r>
      <w:r>
        <w:rPr>
          <w:rFonts w:hint="eastAsia"/>
          <w:sz w:val="15"/>
          <w:szCs w:val="15"/>
          <w:highlight w:val="none"/>
          <w:lang w:val="en-US" w:eastAsia="zh-CN"/>
        </w:rPr>
        <w:t>130131199107204231</w:t>
      </w:r>
      <w:r>
        <w:rPr>
          <w:rFonts w:hint="eastAsia"/>
          <w:sz w:val="15"/>
          <w:szCs w:val="15"/>
        </w:rPr>
        <w:t xml:space="preserve">  </w:t>
      </w:r>
      <w:r>
        <w:rPr>
          <w:rFonts w:hint="eastAsia"/>
          <w:sz w:val="15"/>
          <w:szCs w:val="15"/>
          <w:lang w:val="en-US" w:eastAsia="zh-CN"/>
        </w:rPr>
        <w:t>冀T01115D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