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任生超</w:t>
      </w:r>
      <w:r>
        <w:rPr>
          <w:rFonts w:hint="eastAsia"/>
          <w:sz w:val="15"/>
          <w:szCs w:val="15"/>
          <w:highlight w:val="none"/>
        </w:rPr>
        <w:t>，</w:t>
      </w:r>
      <w:r>
        <w:rPr>
          <w:rFonts w:hint="eastAsia"/>
          <w:sz w:val="15"/>
          <w:szCs w:val="15"/>
          <w:highlight w:val="none"/>
          <w:lang w:val="en-US" w:eastAsia="zh-CN"/>
        </w:rPr>
        <w:t>130131199011103911</w:t>
      </w:r>
      <w:r>
        <w:rPr>
          <w:rFonts w:hint="eastAsia"/>
          <w:sz w:val="15"/>
          <w:szCs w:val="15"/>
        </w:rPr>
        <w:t xml:space="preserve">  </w:t>
      </w:r>
      <w:r>
        <w:rPr>
          <w:rFonts w:hint="eastAsia"/>
          <w:sz w:val="15"/>
          <w:szCs w:val="15"/>
          <w:lang w:val="en-US" w:eastAsia="zh-CN"/>
        </w:rPr>
        <w:t>冀F02264D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