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霍卫杰</w:t>
      </w:r>
      <w:r>
        <w:rPr>
          <w:rFonts w:hint="eastAsia"/>
          <w:sz w:val="15"/>
          <w:szCs w:val="15"/>
          <w:highlight w:val="none"/>
        </w:rPr>
        <w:t>，</w:t>
      </w:r>
      <w:r>
        <w:rPr>
          <w:rFonts w:hint="eastAsia"/>
          <w:sz w:val="15"/>
          <w:szCs w:val="15"/>
          <w:highlight w:val="none"/>
          <w:lang w:val="en-US" w:eastAsia="zh-CN"/>
        </w:rPr>
        <w:t>130131199009095115</w:t>
      </w:r>
      <w:r>
        <w:rPr>
          <w:rFonts w:hint="eastAsia"/>
          <w:sz w:val="15"/>
          <w:szCs w:val="15"/>
        </w:rPr>
        <w:t xml:space="preserve">  </w:t>
      </w:r>
      <w:r>
        <w:rPr>
          <w:rFonts w:hint="eastAsia"/>
          <w:sz w:val="15"/>
          <w:szCs w:val="15"/>
          <w:lang w:val="en-US" w:eastAsia="zh-CN"/>
        </w:rPr>
        <w:t>冀AV9710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