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周朋飞</w:t>
      </w:r>
      <w:r>
        <w:rPr>
          <w:rFonts w:hint="eastAsia"/>
          <w:sz w:val="15"/>
          <w:szCs w:val="15"/>
          <w:highlight w:val="none"/>
        </w:rPr>
        <w:t>，</w:t>
      </w:r>
      <w:r>
        <w:rPr>
          <w:rFonts w:hint="eastAsia"/>
          <w:sz w:val="15"/>
          <w:szCs w:val="15"/>
          <w:highlight w:val="none"/>
          <w:lang w:val="en-US" w:eastAsia="zh-CN"/>
        </w:rPr>
        <w:t>130131199007235719</w:t>
      </w:r>
      <w:r>
        <w:rPr>
          <w:rFonts w:hint="eastAsia"/>
          <w:sz w:val="15"/>
          <w:szCs w:val="15"/>
        </w:rPr>
        <w:t xml:space="preserve">  </w:t>
      </w:r>
      <w:r>
        <w:rPr>
          <w:rFonts w:hint="eastAsia"/>
          <w:sz w:val="15"/>
          <w:szCs w:val="15"/>
          <w:lang w:val="en-US" w:eastAsia="zh-CN"/>
        </w:rPr>
        <w:t>冀A2673Y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