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许晓伟</w:t>
      </w:r>
      <w:r>
        <w:rPr>
          <w:rFonts w:hint="eastAsia"/>
          <w:sz w:val="15"/>
          <w:szCs w:val="15"/>
          <w:highlight w:val="none"/>
        </w:rPr>
        <w:t>，</w:t>
      </w:r>
      <w:r>
        <w:rPr>
          <w:rFonts w:hint="eastAsia"/>
          <w:sz w:val="15"/>
          <w:szCs w:val="15"/>
          <w:highlight w:val="none"/>
          <w:lang w:val="en-US" w:eastAsia="zh-CN"/>
        </w:rPr>
        <w:t>130131199006283372</w:t>
      </w:r>
      <w:r>
        <w:rPr>
          <w:rFonts w:hint="eastAsia"/>
          <w:sz w:val="15"/>
          <w:szCs w:val="15"/>
        </w:rPr>
        <w:t xml:space="preserve">  </w:t>
      </w:r>
      <w:r>
        <w:rPr>
          <w:rFonts w:hint="eastAsia"/>
          <w:sz w:val="15"/>
          <w:szCs w:val="15"/>
          <w:lang w:val="en-US" w:eastAsia="zh-CN"/>
        </w:rPr>
        <w:t>沪A89516D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