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齐彦军</w:t>
      </w:r>
      <w:r>
        <w:rPr>
          <w:rFonts w:hint="eastAsia"/>
          <w:sz w:val="15"/>
          <w:szCs w:val="15"/>
          <w:highlight w:val="none"/>
        </w:rPr>
        <w:t>，</w:t>
      </w:r>
      <w:r>
        <w:rPr>
          <w:rFonts w:hint="eastAsia"/>
          <w:sz w:val="15"/>
          <w:szCs w:val="15"/>
          <w:highlight w:val="none"/>
          <w:lang w:val="en-US" w:eastAsia="zh-CN"/>
        </w:rPr>
        <w:t>130131199004041812</w:t>
      </w:r>
      <w:r>
        <w:rPr>
          <w:rFonts w:hint="eastAsia"/>
          <w:sz w:val="15"/>
          <w:szCs w:val="15"/>
        </w:rPr>
        <w:t xml:space="preserve">  </w:t>
      </w:r>
      <w:r>
        <w:rPr>
          <w:rFonts w:hint="eastAsia"/>
          <w:sz w:val="15"/>
          <w:szCs w:val="15"/>
          <w:lang w:val="en-US" w:eastAsia="zh-CN"/>
        </w:rPr>
        <w:t>沪A23282A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