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王雪刚</w:t>
      </w:r>
      <w:r>
        <w:rPr>
          <w:rFonts w:hint="eastAsia"/>
          <w:sz w:val="15"/>
          <w:szCs w:val="15"/>
          <w:highlight w:val="none"/>
        </w:rPr>
        <w:t>，</w:t>
      </w:r>
      <w:r>
        <w:rPr>
          <w:rFonts w:hint="eastAsia"/>
          <w:sz w:val="15"/>
          <w:szCs w:val="15"/>
          <w:highlight w:val="none"/>
          <w:lang w:val="en-US" w:eastAsia="zh-CN"/>
        </w:rPr>
        <w:t>130131198909053610</w:t>
      </w:r>
      <w:r>
        <w:rPr>
          <w:rFonts w:hint="eastAsia"/>
          <w:sz w:val="15"/>
          <w:szCs w:val="15"/>
        </w:rPr>
        <w:t xml:space="preserve">  </w:t>
      </w:r>
      <w:r>
        <w:rPr>
          <w:rFonts w:hint="eastAsia"/>
          <w:sz w:val="15"/>
          <w:szCs w:val="15"/>
          <w:lang w:val="en-US" w:eastAsia="zh-CN"/>
        </w:rPr>
        <w:t>沪A70886D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