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苏霞</w:t>
      </w:r>
      <w:r>
        <w:rPr>
          <w:rFonts w:hint="eastAsia"/>
          <w:sz w:val="15"/>
          <w:szCs w:val="15"/>
          <w:highlight w:val="none"/>
        </w:rPr>
        <w:t>，</w:t>
      </w:r>
      <w:r>
        <w:rPr>
          <w:rFonts w:hint="eastAsia"/>
          <w:sz w:val="15"/>
          <w:szCs w:val="15"/>
          <w:highlight w:val="none"/>
          <w:lang w:val="en-US" w:eastAsia="zh-CN"/>
        </w:rPr>
        <w:t>130131198903081223</w:t>
      </w:r>
      <w:r>
        <w:rPr>
          <w:rFonts w:hint="eastAsia"/>
          <w:sz w:val="15"/>
          <w:szCs w:val="15"/>
        </w:rPr>
        <w:t xml:space="preserve">  </w:t>
      </w:r>
      <w:r>
        <w:rPr>
          <w:rFonts w:hint="eastAsia"/>
          <w:sz w:val="15"/>
          <w:szCs w:val="15"/>
          <w:lang w:val="en-US" w:eastAsia="zh-CN"/>
        </w:rPr>
        <w:t>冀A47002D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