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王明龙</w:t>
      </w:r>
      <w:r>
        <w:rPr>
          <w:rFonts w:hint="eastAsia"/>
          <w:sz w:val="15"/>
          <w:szCs w:val="15"/>
          <w:highlight w:val="none"/>
        </w:rPr>
        <w:t>，</w:t>
      </w:r>
      <w:r>
        <w:rPr>
          <w:rFonts w:hint="eastAsia"/>
          <w:sz w:val="15"/>
          <w:szCs w:val="15"/>
          <w:highlight w:val="none"/>
          <w:lang w:val="en-US" w:eastAsia="zh-CN"/>
        </w:rPr>
        <w:t>130131198805295738</w:t>
      </w:r>
      <w:r>
        <w:rPr>
          <w:rFonts w:hint="eastAsia"/>
          <w:sz w:val="15"/>
          <w:szCs w:val="15"/>
        </w:rPr>
        <w:t xml:space="preserve">  </w:t>
      </w:r>
      <w:r>
        <w:rPr>
          <w:rFonts w:hint="eastAsia"/>
          <w:sz w:val="15"/>
          <w:szCs w:val="15"/>
          <w:lang w:val="en-US" w:eastAsia="zh-CN"/>
        </w:rPr>
        <w:t>冀AX9769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