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周学亮</w:t>
      </w:r>
      <w:r>
        <w:rPr>
          <w:rFonts w:hint="eastAsia"/>
          <w:sz w:val="15"/>
          <w:szCs w:val="15"/>
          <w:highlight w:val="none"/>
        </w:rPr>
        <w:t>，</w:t>
      </w:r>
      <w:r>
        <w:rPr>
          <w:rFonts w:hint="eastAsia"/>
          <w:sz w:val="15"/>
          <w:szCs w:val="15"/>
          <w:highlight w:val="none"/>
          <w:lang w:val="en-US" w:eastAsia="zh-CN"/>
        </w:rPr>
        <w:t>130131198801061539</w:t>
      </w:r>
      <w:r>
        <w:rPr>
          <w:rFonts w:hint="eastAsia"/>
          <w:sz w:val="15"/>
          <w:szCs w:val="15"/>
        </w:rPr>
        <w:t xml:space="preserve">  </w:t>
      </w:r>
      <w:r>
        <w:rPr>
          <w:rFonts w:hint="eastAsia"/>
          <w:sz w:val="15"/>
          <w:szCs w:val="15"/>
          <w:lang w:val="en-US" w:eastAsia="zh-CN"/>
        </w:rPr>
        <w:t>沪A26952A</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