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于立峰</w:t>
      </w:r>
      <w:r>
        <w:rPr>
          <w:rFonts w:hint="eastAsia"/>
          <w:sz w:val="15"/>
          <w:szCs w:val="15"/>
          <w:highlight w:val="none"/>
        </w:rPr>
        <w:t>，</w:t>
      </w:r>
      <w:r>
        <w:rPr>
          <w:rFonts w:hint="eastAsia"/>
          <w:sz w:val="15"/>
          <w:szCs w:val="15"/>
          <w:highlight w:val="none"/>
          <w:lang w:val="en-US" w:eastAsia="zh-CN"/>
        </w:rPr>
        <w:t>13013119871224005x</w:t>
      </w:r>
      <w:r>
        <w:rPr>
          <w:rFonts w:hint="eastAsia"/>
          <w:sz w:val="15"/>
          <w:szCs w:val="15"/>
        </w:rPr>
        <w:t xml:space="preserve">  </w:t>
      </w:r>
      <w:r>
        <w:rPr>
          <w:rFonts w:hint="eastAsia"/>
          <w:sz w:val="15"/>
          <w:szCs w:val="15"/>
          <w:lang w:val="en-US" w:eastAsia="zh-CN"/>
        </w:rPr>
        <w:t>沪A00021A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