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李明</w:t>
      </w:r>
      <w:r>
        <w:rPr>
          <w:rFonts w:hint="eastAsia"/>
          <w:sz w:val="15"/>
          <w:szCs w:val="15"/>
          <w:highlight w:val="none"/>
        </w:rPr>
        <w:t>，</w:t>
      </w:r>
      <w:r>
        <w:rPr>
          <w:rFonts w:hint="eastAsia"/>
          <w:sz w:val="15"/>
          <w:szCs w:val="15"/>
          <w:highlight w:val="none"/>
          <w:lang w:val="en-US" w:eastAsia="zh-CN"/>
        </w:rPr>
        <w:t>130131198709163911</w:t>
      </w:r>
      <w:r>
        <w:rPr>
          <w:rFonts w:hint="eastAsia"/>
          <w:sz w:val="15"/>
          <w:szCs w:val="15"/>
        </w:rPr>
        <w:t xml:space="preserve">  </w:t>
      </w:r>
      <w:r>
        <w:rPr>
          <w:rFonts w:hint="eastAsia"/>
          <w:sz w:val="15"/>
          <w:szCs w:val="15"/>
          <w:lang w:val="en-US" w:eastAsia="zh-CN"/>
        </w:rPr>
        <w:t>沪A82300D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