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康丽伟</w:t>
      </w:r>
      <w:r>
        <w:rPr>
          <w:rFonts w:hint="eastAsia"/>
          <w:sz w:val="15"/>
          <w:szCs w:val="15"/>
          <w:highlight w:val="none"/>
        </w:rPr>
        <w:t>，</w:t>
      </w:r>
      <w:r>
        <w:rPr>
          <w:rFonts w:hint="eastAsia"/>
          <w:sz w:val="15"/>
          <w:szCs w:val="15"/>
          <w:highlight w:val="none"/>
          <w:lang w:val="en-US" w:eastAsia="zh-CN"/>
        </w:rPr>
        <w:t>130131198708082730</w:t>
      </w:r>
      <w:r>
        <w:rPr>
          <w:rFonts w:hint="eastAsia"/>
          <w:sz w:val="15"/>
          <w:szCs w:val="15"/>
        </w:rPr>
        <w:t xml:space="preserve">  </w:t>
      </w:r>
      <w:r>
        <w:rPr>
          <w:rFonts w:hint="eastAsia"/>
          <w:sz w:val="15"/>
          <w:szCs w:val="15"/>
          <w:lang w:val="en-US" w:eastAsia="zh-CN"/>
        </w:rPr>
        <w:t>冀A368AF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