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施志霞</w:t>
      </w:r>
      <w:r>
        <w:rPr>
          <w:rFonts w:hint="eastAsia"/>
          <w:sz w:val="15"/>
          <w:szCs w:val="15"/>
          <w:highlight w:val="none"/>
        </w:rPr>
        <w:t>，</w:t>
      </w:r>
      <w:r>
        <w:rPr>
          <w:rFonts w:hint="eastAsia"/>
          <w:sz w:val="15"/>
          <w:szCs w:val="15"/>
          <w:highlight w:val="none"/>
          <w:lang w:val="en-US" w:eastAsia="zh-CN"/>
        </w:rPr>
        <w:t>130131198708033648</w:t>
      </w:r>
      <w:r>
        <w:rPr>
          <w:rFonts w:hint="eastAsia"/>
          <w:sz w:val="15"/>
          <w:szCs w:val="15"/>
        </w:rPr>
        <w:t xml:space="preserve">  </w:t>
      </w:r>
      <w:r>
        <w:rPr>
          <w:rFonts w:hint="eastAsia"/>
          <w:sz w:val="15"/>
          <w:szCs w:val="15"/>
          <w:lang w:val="en-US" w:eastAsia="zh-CN"/>
        </w:rPr>
        <w:t>冀A049EE</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