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曹乐乐</w:t>
      </w:r>
      <w:r>
        <w:rPr>
          <w:rFonts w:hint="eastAsia"/>
          <w:sz w:val="15"/>
          <w:szCs w:val="15"/>
          <w:highlight w:val="none"/>
        </w:rPr>
        <w:t>，</w:t>
      </w:r>
      <w:r>
        <w:rPr>
          <w:rFonts w:hint="eastAsia"/>
          <w:sz w:val="15"/>
          <w:szCs w:val="15"/>
          <w:highlight w:val="none"/>
          <w:lang w:val="en-US" w:eastAsia="zh-CN"/>
        </w:rPr>
        <w:t>130131198705151518</w:t>
      </w:r>
      <w:r>
        <w:rPr>
          <w:rFonts w:hint="eastAsia"/>
          <w:sz w:val="15"/>
          <w:szCs w:val="15"/>
        </w:rPr>
        <w:t xml:space="preserve">  </w:t>
      </w:r>
      <w:r>
        <w:rPr>
          <w:rFonts w:hint="eastAsia"/>
          <w:sz w:val="15"/>
          <w:szCs w:val="15"/>
          <w:lang w:val="en-US" w:eastAsia="zh-CN"/>
        </w:rPr>
        <w:t>冀A59152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