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张会其</w:t>
      </w:r>
      <w:r>
        <w:rPr>
          <w:rFonts w:hint="eastAsia"/>
          <w:sz w:val="15"/>
          <w:szCs w:val="15"/>
          <w:highlight w:val="none"/>
        </w:rPr>
        <w:t>，</w:t>
      </w:r>
      <w:r>
        <w:rPr>
          <w:rFonts w:hint="eastAsia"/>
          <w:sz w:val="15"/>
          <w:szCs w:val="15"/>
          <w:highlight w:val="none"/>
          <w:lang w:val="en-US" w:eastAsia="zh-CN"/>
        </w:rPr>
        <w:t>130131198703290039</w:t>
      </w:r>
      <w:r>
        <w:rPr>
          <w:rFonts w:hint="eastAsia"/>
          <w:sz w:val="15"/>
          <w:szCs w:val="15"/>
        </w:rPr>
        <w:t xml:space="preserve">  </w:t>
      </w:r>
      <w:r>
        <w:rPr>
          <w:rFonts w:hint="eastAsia"/>
          <w:sz w:val="15"/>
          <w:szCs w:val="15"/>
          <w:lang w:val="en-US" w:eastAsia="zh-CN"/>
        </w:rPr>
        <w:t>冀A33374D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