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王晓锋</w:t>
      </w:r>
      <w:r>
        <w:rPr>
          <w:rFonts w:hint="eastAsia"/>
          <w:sz w:val="15"/>
          <w:szCs w:val="15"/>
          <w:highlight w:val="none"/>
        </w:rPr>
        <w:t>，</w:t>
      </w:r>
      <w:r>
        <w:rPr>
          <w:rFonts w:hint="eastAsia"/>
          <w:sz w:val="15"/>
          <w:szCs w:val="15"/>
          <w:highlight w:val="none"/>
          <w:lang w:val="en-US" w:eastAsia="zh-CN"/>
        </w:rPr>
        <w:t>130131198612211518</w:t>
      </w:r>
      <w:r>
        <w:rPr>
          <w:rFonts w:hint="eastAsia"/>
          <w:sz w:val="15"/>
          <w:szCs w:val="15"/>
        </w:rPr>
        <w:t xml:space="preserve">  </w:t>
      </w:r>
      <w:r>
        <w:rPr>
          <w:rFonts w:hint="eastAsia"/>
          <w:sz w:val="15"/>
          <w:szCs w:val="15"/>
          <w:lang w:val="en-US" w:eastAsia="zh-CN"/>
        </w:rPr>
        <w:t>冀A530AH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