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邢雪同</w:t>
      </w:r>
      <w:r>
        <w:rPr>
          <w:rFonts w:hint="eastAsia"/>
          <w:sz w:val="15"/>
          <w:szCs w:val="15"/>
          <w:highlight w:val="none"/>
        </w:rPr>
        <w:t>，</w:t>
      </w:r>
      <w:r>
        <w:rPr>
          <w:rFonts w:hint="eastAsia"/>
          <w:sz w:val="15"/>
          <w:szCs w:val="15"/>
          <w:highlight w:val="none"/>
          <w:lang w:val="en-US" w:eastAsia="zh-CN"/>
        </w:rPr>
        <w:t>130131198611090013</w:t>
      </w:r>
      <w:r>
        <w:rPr>
          <w:rFonts w:hint="eastAsia"/>
          <w:sz w:val="15"/>
          <w:szCs w:val="15"/>
        </w:rPr>
        <w:t xml:space="preserve">  </w:t>
      </w:r>
      <w:r>
        <w:rPr>
          <w:rFonts w:hint="eastAsia"/>
          <w:sz w:val="15"/>
          <w:szCs w:val="15"/>
          <w:lang w:val="en-US" w:eastAsia="zh-CN"/>
        </w:rPr>
        <w:t>冀A166VG</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