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李超</w:t>
      </w:r>
      <w:r>
        <w:rPr>
          <w:rFonts w:hint="eastAsia"/>
          <w:sz w:val="15"/>
          <w:szCs w:val="15"/>
          <w:highlight w:val="none"/>
        </w:rPr>
        <w:t>，</w:t>
      </w:r>
      <w:r>
        <w:rPr>
          <w:rFonts w:hint="eastAsia"/>
          <w:sz w:val="15"/>
          <w:szCs w:val="15"/>
          <w:highlight w:val="none"/>
          <w:lang w:val="en-US" w:eastAsia="zh-CN"/>
        </w:rPr>
        <w:t>13013119861015007X</w:t>
      </w:r>
      <w:r>
        <w:rPr>
          <w:rFonts w:hint="eastAsia"/>
          <w:sz w:val="15"/>
          <w:szCs w:val="15"/>
        </w:rPr>
        <w:t xml:space="preserve">  </w:t>
      </w:r>
      <w:r>
        <w:rPr>
          <w:rFonts w:hint="eastAsia"/>
          <w:sz w:val="15"/>
          <w:szCs w:val="15"/>
          <w:lang w:val="en-US" w:eastAsia="zh-CN"/>
        </w:rPr>
        <w:t>冀A35654D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