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任鹏</w:t>
      </w:r>
      <w:r>
        <w:rPr>
          <w:rFonts w:hint="eastAsia"/>
          <w:sz w:val="15"/>
          <w:szCs w:val="15"/>
          <w:highlight w:val="none"/>
        </w:rPr>
        <w:t>，</w:t>
      </w:r>
      <w:r>
        <w:rPr>
          <w:rFonts w:hint="eastAsia"/>
          <w:sz w:val="15"/>
          <w:szCs w:val="15"/>
          <w:highlight w:val="none"/>
          <w:lang w:val="en-US" w:eastAsia="zh-CN"/>
        </w:rPr>
        <w:t>130131198609123955</w:t>
      </w:r>
      <w:r>
        <w:rPr>
          <w:rFonts w:hint="eastAsia"/>
          <w:sz w:val="15"/>
          <w:szCs w:val="15"/>
        </w:rPr>
        <w:t xml:space="preserve">  </w:t>
      </w:r>
      <w:r>
        <w:rPr>
          <w:rFonts w:hint="eastAsia"/>
          <w:sz w:val="15"/>
          <w:szCs w:val="15"/>
          <w:lang w:val="en-US" w:eastAsia="zh-CN"/>
        </w:rPr>
        <w:t>冀AY2915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