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武春杰</w:t>
      </w:r>
      <w:r>
        <w:rPr>
          <w:rFonts w:hint="eastAsia"/>
          <w:sz w:val="15"/>
          <w:szCs w:val="15"/>
          <w:highlight w:val="none"/>
        </w:rPr>
        <w:t>，</w:t>
      </w:r>
      <w:r>
        <w:rPr>
          <w:rFonts w:hint="eastAsia"/>
          <w:sz w:val="15"/>
          <w:szCs w:val="15"/>
          <w:highlight w:val="none"/>
          <w:lang w:val="en-US" w:eastAsia="zh-CN"/>
        </w:rPr>
        <w:t>130131198605053910</w:t>
      </w:r>
      <w:r>
        <w:rPr>
          <w:rFonts w:hint="eastAsia"/>
          <w:sz w:val="15"/>
          <w:szCs w:val="15"/>
        </w:rPr>
        <w:t xml:space="preserve">  </w:t>
      </w:r>
      <w:r>
        <w:rPr>
          <w:rFonts w:hint="eastAsia"/>
          <w:sz w:val="15"/>
          <w:szCs w:val="15"/>
          <w:lang w:val="en-US" w:eastAsia="zh-CN"/>
        </w:rPr>
        <w:t>冀A348AA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