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马丽岗</w:t>
      </w:r>
      <w:r>
        <w:rPr>
          <w:rFonts w:hint="eastAsia"/>
          <w:sz w:val="15"/>
          <w:szCs w:val="15"/>
          <w:highlight w:val="none"/>
        </w:rPr>
        <w:t>，</w:t>
      </w:r>
      <w:r>
        <w:rPr>
          <w:rFonts w:hint="eastAsia"/>
          <w:sz w:val="15"/>
          <w:szCs w:val="15"/>
          <w:highlight w:val="none"/>
          <w:lang w:val="en-US" w:eastAsia="zh-CN"/>
        </w:rPr>
        <w:t>130131198602033914</w:t>
      </w:r>
      <w:r>
        <w:rPr>
          <w:rFonts w:hint="eastAsia"/>
          <w:sz w:val="15"/>
          <w:szCs w:val="15"/>
        </w:rPr>
        <w:t xml:space="preserve">  </w:t>
      </w:r>
      <w:r>
        <w:rPr>
          <w:rFonts w:hint="eastAsia"/>
          <w:sz w:val="15"/>
          <w:szCs w:val="15"/>
          <w:lang w:val="en-US" w:eastAsia="zh-CN"/>
        </w:rPr>
        <w:t>冀AUV544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