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李彦朝</w:t>
      </w:r>
      <w:r>
        <w:rPr>
          <w:rFonts w:hint="eastAsia"/>
          <w:sz w:val="15"/>
          <w:szCs w:val="15"/>
          <w:highlight w:val="none"/>
        </w:rPr>
        <w:t>，</w:t>
      </w:r>
      <w:r>
        <w:rPr>
          <w:rFonts w:hint="eastAsia"/>
          <w:sz w:val="15"/>
          <w:szCs w:val="15"/>
          <w:highlight w:val="none"/>
          <w:lang w:val="en-US" w:eastAsia="zh-CN"/>
        </w:rPr>
        <w:t>130131198512201259</w:t>
      </w:r>
      <w:r>
        <w:rPr>
          <w:rFonts w:hint="eastAsia"/>
          <w:sz w:val="15"/>
          <w:szCs w:val="15"/>
        </w:rPr>
        <w:t xml:space="preserve">  </w:t>
      </w:r>
      <w:r>
        <w:rPr>
          <w:rFonts w:hint="eastAsia"/>
          <w:sz w:val="15"/>
          <w:szCs w:val="15"/>
          <w:lang w:val="en-US" w:eastAsia="zh-CN"/>
        </w:rPr>
        <w:t>沪A97613D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