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高利科</w:t>
      </w:r>
      <w:r>
        <w:rPr>
          <w:rFonts w:hint="eastAsia"/>
          <w:sz w:val="15"/>
          <w:szCs w:val="15"/>
          <w:highlight w:val="none"/>
        </w:rPr>
        <w:t>，</w:t>
      </w:r>
      <w:r>
        <w:rPr>
          <w:rFonts w:hint="eastAsia"/>
          <w:sz w:val="15"/>
          <w:szCs w:val="15"/>
          <w:highlight w:val="none"/>
          <w:lang w:val="en-US" w:eastAsia="zh-CN"/>
        </w:rPr>
        <w:t>130131198510304211</w:t>
      </w:r>
      <w:r>
        <w:rPr>
          <w:rFonts w:hint="eastAsia"/>
          <w:sz w:val="15"/>
          <w:szCs w:val="15"/>
        </w:rPr>
        <w:t xml:space="preserve">  </w:t>
      </w:r>
      <w:r>
        <w:rPr>
          <w:rFonts w:hint="eastAsia"/>
          <w:sz w:val="15"/>
          <w:szCs w:val="15"/>
          <w:lang w:val="en-US" w:eastAsia="zh-CN"/>
        </w:rPr>
        <w:t>沪A76113D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