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赵增强</w:t>
      </w:r>
      <w:r>
        <w:rPr>
          <w:rFonts w:hint="eastAsia"/>
          <w:sz w:val="15"/>
          <w:szCs w:val="15"/>
          <w:highlight w:val="none"/>
        </w:rPr>
        <w:t>，</w:t>
      </w:r>
      <w:r>
        <w:rPr>
          <w:rFonts w:hint="eastAsia"/>
          <w:sz w:val="15"/>
          <w:szCs w:val="15"/>
          <w:highlight w:val="none"/>
          <w:lang w:val="en-US" w:eastAsia="zh-CN"/>
        </w:rPr>
        <w:t>13013119851004363X</w:t>
      </w:r>
      <w:r>
        <w:rPr>
          <w:rFonts w:hint="eastAsia"/>
          <w:sz w:val="15"/>
          <w:szCs w:val="15"/>
        </w:rPr>
        <w:t xml:space="preserve">  </w:t>
      </w:r>
      <w:r>
        <w:rPr>
          <w:rFonts w:hint="eastAsia"/>
          <w:sz w:val="15"/>
          <w:szCs w:val="15"/>
          <w:lang w:val="en-US" w:eastAsia="zh-CN"/>
        </w:rPr>
        <w:t>冀ACE399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