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史苏卫</w:t>
      </w:r>
      <w:r>
        <w:rPr>
          <w:rFonts w:hint="eastAsia"/>
          <w:sz w:val="15"/>
          <w:szCs w:val="15"/>
          <w:highlight w:val="none"/>
        </w:rPr>
        <w:t>，</w:t>
      </w:r>
      <w:r>
        <w:rPr>
          <w:rFonts w:hint="eastAsia"/>
          <w:sz w:val="15"/>
          <w:szCs w:val="15"/>
          <w:highlight w:val="none"/>
          <w:lang w:val="en-US" w:eastAsia="zh-CN"/>
        </w:rPr>
        <w:t>130131198510041511</w:t>
      </w:r>
      <w:r>
        <w:rPr>
          <w:rFonts w:hint="eastAsia"/>
          <w:sz w:val="15"/>
          <w:szCs w:val="15"/>
        </w:rPr>
        <w:t xml:space="preserve">  </w:t>
      </w:r>
      <w:r>
        <w:rPr>
          <w:rFonts w:hint="eastAsia"/>
          <w:sz w:val="15"/>
          <w:szCs w:val="15"/>
          <w:lang w:val="en-US" w:eastAsia="zh-CN"/>
        </w:rPr>
        <w:t>冀A978LM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