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焦建会</w:t>
      </w:r>
      <w:r>
        <w:rPr>
          <w:rFonts w:hint="eastAsia"/>
          <w:sz w:val="15"/>
          <w:szCs w:val="15"/>
          <w:highlight w:val="none"/>
        </w:rPr>
        <w:t>，</w:t>
      </w:r>
      <w:r>
        <w:rPr>
          <w:rFonts w:hint="eastAsia"/>
          <w:sz w:val="15"/>
          <w:szCs w:val="15"/>
          <w:highlight w:val="none"/>
          <w:lang w:val="en-US" w:eastAsia="zh-CN"/>
        </w:rPr>
        <w:t>13013119850918331X</w:t>
      </w:r>
      <w:r>
        <w:rPr>
          <w:rFonts w:hint="eastAsia"/>
          <w:sz w:val="15"/>
          <w:szCs w:val="15"/>
        </w:rPr>
        <w:t xml:space="preserve">  </w:t>
      </w:r>
      <w:r>
        <w:rPr>
          <w:rFonts w:hint="eastAsia"/>
          <w:sz w:val="15"/>
          <w:szCs w:val="15"/>
          <w:lang w:val="en-US" w:eastAsia="zh-CN"/>
        </w:rPr>
        <w:t>冀T09378D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