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卢俊杰</w:t>
      </w:r>
      <w:r>
        <w:rPr>
          <w:rFonts w:hint="eastAsia"/>
          <w:sz w:val="15"/>
          <w:szCs w:val="15"/>
          <w:highlight w:val="none"/>
        </w:rPr>
        <w:t>，</w:t>
      </w:r>
      <w:r>
        <w:rPr>
          <w:rFonts w:hint="eastAsia"/>
          <w:sz w:val="15"/>
          <w:szCs w:val="15"/>
          <w:highlight w:val="none"/>
          <w:lang w:val="en-US" w:eastAsia="zh-CN"/>
        </w:rPr>
        <w:t>130131198504120053</w:t>
      </w:r>
      <w:r>
        <w:rPr>
          <w:rFonts w:hint="eastAsia"/>
          <w:sz w:val="15"/>
          <w:szCs w:val="15"/>
        </w:rPr>
        <w:t xml:space="preserve">  </w:t>
      </w:r>
      <w:r>
        <w:rPr>
          <w:rFonts w:hint="eastAsia"/>
          <w:sz w:val="15"/>
          <w:szCs w:val="15"/>
          <w:lang w:val="en-US" w:eastAsia="zh-CN"/>
        </w:rPr>
        <w:t>晋C05582D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