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于晓林</w:t>
      </w:r>
      <w:r>
        <w:rPr>
          <w:rFonts w:hint="eastAsia"/>
          <w:sz w:val="15"/>
          <w:szCs w:val="15"/>
          <w:highlight w:val="none"/>
        </w:rPr>
        <w:t>，</w:t>
      </w:r>
      <w:r>
        <w:rPr>
          <w:rFonts w:hint="eastAsia"/>
          <w:sz w:val="15"/>
          <w:szCs w:val="15"/>
          <w:highlight w:val="none"/>
          <w:lang w:val="en-US" w:eastAsia="zh-CN"/>
        </w:rPr>
        <w:t>130131198407070031</w:t>
      </w:r>
      <w:r>
        <w:rPr>
          <w:rFonts w:hint="eastAsia"/>
          <w:sz w:val="15"/>
          <w:szCs w:val="15"/>
        </w:rPr>
        <w:t xml:space="preserve">  </w:t>
      </w:r>
      <w:r>
        <w:rPr>
          <w:rFonts w:hint="eastAsia"/>
          <w:sz w:val="15"/>
          <w:szCs w:val="15"/>
          <w:lang w:val="en-US" w:eastAsia="zh-CN"/>
        </w:rPr>
        <w:t>冀A1415W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