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高会刚</w:t>
      </w:r>
      <w:r>
        <w:rPr>
          <w:rFonts w:hint="eastAsia"/>
          <w:sz w:val="15"/>
          <w:szCs w:val="15"/>
          <w:highlight w:val="none"/>
        </w:rPr>
        <w:t>，</w:t>
      </w:r>
      <w:r>
        <w:rPr>
          <w:rFonts w:hint="eastAsia"/>
          <w:sz w:val="15"/>
          <w:szCs w:val="15"/>
          <w:highlight w:val="none"/>
          <w:lang w:val="en-US" w:eastAsia="zh-CN"/>
        </w:rPr>
        <w:t>130131198404210633</w:t>
      </w:r>
      <w:r>
        <w:rPr>
          <w:rFonts w:hint="eastAsia"/>
          <w:sz w:val="15"/>
          <w:szCs w:val="15"/>
        </w:rPr>
        <w:t xml:space="preserve">  </w:t>
      </w:r>
      <w:r>
        <w:rPr>
          <w:rFonts w:hint="eastAsia"/>
          <w:sz w:val="15"/>
          <w:szCs w:val="15"/>
          <w:lang w:val="en-US" w:eastAsia="zh-CN"/>
        </w:rPr>
        <w:t>冀A989US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