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安增勇</w:t>
      </w:r>
      <w:r>
        <w:rPr>
          <w:rFonts w:hint="eastAsia"/>
          <w:sz w:val="15"/>
          <w:szCs w:val="15"/>
          <w:highlight w:val="none"/>
        </w:rPr>
        <w:t>，</w:t>
      </w:r>
      <w:r>
        <w:rPr>
          <w:rFonts w:hint="eastAsia"/>
          <w:sz w:val="15"/>
          <w:szCs w:val="15"/>
          <w:highlight w:val="none"/>
          <w:lang w:val="en-US" w:eastAsia="zh-CN"/>
        </w:rPr>
        <w:t>130131198312303912</w:t>
      </w:r>
      <w:r>
        <w:rPr>
          <w:rFonts w:hint="eastAsia"/>
          <w:sz w:val="15"/>
          <w:szCs w:val="15"/>
        </w:rPr>
        <w:t xml:space="preserve">  </w:t>
      </w:r>
      <w:r>
        <w:rPr>
          <w:rFonts w:hint="eastAsia"/>
          <w:sz w:val="15"/>
          <w:szCs w:val="15"/>
          <w:lang w:val="en-US" w:eastAsia="zh-CN"/>
        </w:rPr>
        <w:t>冀ATX011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