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胡丽刚</w:t>
      </w:r>
      <w:r>
        <w:rPr>
          <w:rFonts w:hint="eastAsia"/>
          <w:sz w:val="15"/>
          <w:szCs w:val="15"/>
          <w:highlight w:val="none"/>
        </w:rPr>
        <w:t>，</w:t>
      </w:r>
      <w:r>
        <w:rPr>
          <w:rFonts w:hint="eastAsia"/>
          <w:sz w:val="15"/>
          <w:szCs w:val="15"/>
          <w:highlight w:val="none"/>
          <w:lang w:val="en-US" w:eastAsia="zh-CN"/>
        </w:rPr>
        <w:t>130131198312153619</w:t>
      </w:r>
      <w:r>
        <w:rPr>
          <w:rFonts w:hint="eastAsia"/>
          <w:sz w:val="15"/>
          <w:szCs w:val="15"/>
        </w:rPr>
        <w:t xml:space="preserve">  </w:t>
      </w:r>
      <w:r>
        <w:rPr>
          <w:rFonts w:hint="eastAsia"/>
          <w:sz w:val="15"/>
          <w:szCs w:val="15"/>
          <w:lang w:val="en-US" w:eastAsia="zh-CN"/>
        </w:rPr>
        <w:t>冀A1200X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