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韩永岗</w:t>
      </w:r>
      <w:r>
        <w:rPr>
          <w:rFonts w:hint="eastAsia"/>
          <w:sz w:val="15"/>
          <w:szCs w:val="15"/>
          <w:highlight w:val="none"/>
        </w:rPr>
        <w:t>，</w:t>
      </w:r>
      <w:r>
        <w:rPr>
          <w:rFonts w:hint="eastAsia"/>
          <w:sz w:val="15"/>
          <w:szCs w:val="15"/>
          <w:highlight w:val="none"/>
          <w:lang w:val="en-US" w:eastAsia="zh-CN"/>
        </w:rPr>
        <w:t>13013119831010395X</w:t>
      </w:r>
      <w:r>
        <w:rPr>
          <w:rFonts w:hint="eastAsia"/>
          <w:sz w:val="15"/>
          <w:szCs w:val="15"/>
        </w:rPr>
        <w:t xml:space="preserve">  </w:t>
      </w:r>
      <w:r>
        <w:rPr>
          <w:rFonts w:hint="eastAsia"/>
          <w:sz w:val="15"/>
          <w:szCs w:val="15"/>
          <w:lang w:val="en-US" w:eastAsia="zh-CN"/>
        </w:rPr>
        <w:t>冀A022NA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