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刘彦龙</w:t>
      </w:r>
      <w:r>
        <w:rPr>
          <w:rFonts w:hint="eastAsia"/>
          <w:sz w:val="15"/>
          <w:szCs w:val="15"/>
          <w:highlight w:val="none"/>
        </w:rPr>
        <w:t>，</w:t>
      </w:r>
      <w:r>
        <w:rPr>
          <w:rFonts w:hint="eastAsia"/>
          <w:sz w:val="15"/>
          <w:szCs w:val="15"/>
          <w:highlight w:val="none"/>
          <w:lang w:val="en-US" w:eastAsia="zh-CN"/>
        </w:rPr>
        <w:t>130131198310050050</w:t>
      </w:r>
      <w:r>
        <w:rPr>
          <w:rFonts w:hint="eastAsia"/>
          <w:sz w:val="15"/>
          <w:szCs w:val="15"/>
        </w:rPr>
        <w:t xml:space="preserve">  </w:t>
      </w:r>
      <w:r>
        <w:rPr>
          <w:rFonts w:hint="eastAsia"/>
          <w:sz w:val="15"/>
          <w:szCs w:val="15"/>
          <w:lang w:val="en-US" w:eastAsia="zh-CN"/>
        </w:rPr>
        <w:t>冀AKD505</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