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赵天龙</w:t>
      </w:r>
      <w:r>
        <w:rPr>
          <w:rFonts w:hint="eastAsia"/>
          <w:sz w:val="15"/>
          <w:szCs w:val="15"/>
          <w:highlight w:val="none"/>
        </w:rPr>
        <w:t>，</w:t>
      </w:r>
      <w:r>
        <w:rPr>
          <w:rFonts w:hint="eastAsia"/>
          <w:sz w:val="15"/>
          <w:szCs w:val="15"/>
          <w:highlight w:val="none"/>
          <w:lang w:val="en-US" w:eastAsia="zh-CN"/>
        </w:rPr>
        <w:t>13013119830808063X</w:t>
      </w:r>
      <w:r>
        <w:rPr>
          <w:rFonts w:hint="eastAsia"/>
          <w:sz w:val="15"/>
          <w:szCs w:val="15"/>
        </w:rPr>
        <w:t xml:space="preserve">  </w:t>
      </w:r>
      <w:r>
        <w:rPr>
          <w:rFonts w:hint="eastAsia"/>
          <w:sz w:val="15"/>
          <w:szCs w:val="15"/>
          <w:lang w:val="en-US" w:eastAsia="zh-CN"/>
        </w:rPr>
        <w:t>冀A737VQ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