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刘建伟</w:t>
      </w:r>
      <w:r>
        <w:rPr>
          <w:rFonts w:hint="eastAsia"/>
          <w:sz w:val="15"/>
          <w:szCs w:val="15"/>
          <w:highlight w:val="none"/>
        </w:rPr>
        <w:t>，</w:t>
      </w:r>
      <w:r>
        <w:rPr>
          <w:rFonts w:hint="eastAsia"/>
          <w:sz w:val="15"/>
          <w:szCs w:val="15"/>
          <w:highlight w:val="none"/>
          <w:lang w:val="en-US" w:eastAsia="zh-CN"/>
        </w:rPr>
        <w:t>130131198307064814</w:t>
      </w:r>
      <w:r>
        <w:rPr>
          <w:rFonts w:hint="eastAsia"/>
          <w:sz w:val="15"/>
          <w:szCs w:val="15"/>
        </w:rPr>
        <w:t xml:space="preserve">  </w:t>
      </w:r>
      <w:r>
        <w:rPr>
          <w:rFonts w:hint="eastAsia"/>
          <w:sz w:val="15"/>
          <w:szCs w:val="15"/>
          <w:lang w:val="en-US" w:eastAsia="zh-CN"/>
        </w:rPr>
        <w:t>冀AW7913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