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张建龙</w:t>
      </w:r>
      <w:r>
        <w:rPr>
          <w:rFonts w:hint="eastAsia"/>
          <w:sz w:val="15"/>
          <w:szCs w:val="15"/>
          <w:highlight w:val="none"/>
        </w:rPr>
        <w:t>，</w:t>
      </w:r>
      <w:r>
        <w:rPr>
          <w:rFonts w:hint="eastAsia"/>
          <w:sz w:val="15"/>
          <w:szCs w:val="15"/>
          <w:highlight w:val="none"/>
          <w:lang w:val="en-US" w:eastAsia="zh-CN"/>
        </w:rPr>
        <w:t>130131198210171517</w:t>
      </w:r>
      <w:r>
        <w:rPr>
          <w:rFonts w:hint="eastAsia"/>
          <w:sz w:val="15"/>
          <w:szCs w:val="15"/>
        </w:rPr>
        <w:t xml:space="preserve">  </w:t>
      </w:r>
      <w:r>
        <w:rPr>
          <w:rFonts w:hint="eastAsia"/>
          <w:sz w:val="15"/>
          <w:szCs w:val="15"/>
          <w:lang w:val="en-US" w:eastAsia="zh-CN"/>
        </w:rPr>
        <w:t>沪A19201A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