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杜晓飞</w:t>
      </w:r>
      <w:r>
        <w:rPr>
          <w:rFonts w:hint="eastAsia"/>
          <w:sz w:val="15"/>
          <w:szCs w:val="15"/>
          <w:highlight w:val="none"/>
        </w:rPr>
        <w:t>，</w:t>
      </w:r>
      <w:r>
        <w:rPr>
          <w:rFonts w:hint="eastAsia"/>
          <w:sz w:val="15"/>
          <w:szCs w:val="15"/>
          <w:highlight w:val="none"/>
          <w:lang w:val="en-US" w:eastAsia="zh-CN"/>
        </w:rPr>
        <w:t>130131198210060630</w:t>
      </w:r>
      <w:r>
        <w:rPr>
          <w:rFonts w:hint="eastAsia"/>
          <w:sz w:val="15"/>
          <w:szCs w:val="15"/>
        </w:rPr>
        <w:t xml:space="preserve">  </w:t>
      </w:r>
      <w:r>
        <w:rPr>
          <w:rFonts w:hint="eastAsia"/>
          <w:sz w:val="15"/>
          <w:szCs w:val="15"/>
          <w:lang w:val="en-US" w:eastAsia="zh-CN"/>
        </w:rPr>
        <w:t>冀A667DW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