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苏飞</w:t>
      </w:r>
      <w:r>
        <w:rPr>
          <w:rFonts w:hint="eastAsia"/>
          <w:sz w:val="15"/>
          <w:szCs w:val="15"/>
          <w:highlight w:val="none"/>
        </w:rPr>
        <w:t>，</w:t>
      </w:r>
      <w:r>
        <w:rPr>
          <w:rFonts w:hint="eastAsia"/>
          <w:sz w:val="15"/>
          <w:szCs w:val="15"/>
          <w:highlight w:val="none"/>
          <w:lang w:val="en-US" w:eastAsia="zh-CN"/>
        </w:rPr>
        <w:t>130131198208301212</w:t>
      </w:r>
      <w:r>
        <w:rPr>
          <w:rFonts w:hint="eastAsia"/>
          <w:sz w:val="15"/>
          <w:szCs w:val="15"/>
        </w:rPr>
        <w:t xml:space="preserve">  </w:t>
      </w:r>
      <w:r>
        <w:rPr>
          <w:rFonts w:hint="eastAsia"/>
          <w:sz w:val="15"/>
          <w:szCs w:val="15"/>
          <w:lang w:val="en-US" w:eastAsia="zh-CN"/>
        </w:rPr>
        <w:t>冀A7S782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