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梁立明</w:t>
      </w:r>
      <w:r>
        <w:rPr>
          <w:rFonts w:hint="eastAsia"/>
          <w:sz w:val="15"/>
          <w:szCs w:val="15"/>
          <w:highlight w:val="none"/>
        </w:rPr>
        <w:t>，</w:t>
      </w:r>
      <w:r>
        <w:rPr>
          <w:rFonts w:hint="eastAsia"/>
          <w:sz w:val="15"/>
          <w:szCs w:val="15"/>
          <w:highlight w:val="none"/>
          <w:lang w:val="en-US" w:eastAsia="zh-CN"/>
        </w:rPr>
        <w:t>130131198208232114</w:t>
      </w:r>
      <w:r>
        <w:rPr>
          <w:rFonts w:hint="eastAsia"/>
          <w:sz w:val="15"/>
          <w:szCs w:val="15"/>
        </w:rPr>
        <w:t xml:space="preserve">  </w:t>
      </w:r>
      <w:r>
        <w:rPr>
          <w:rFonts w:hint="eastAsia"/>
          <w:sz w:val="15"/>
          <w:szCs w:val="15"/>
          <w:lang w:val="en-US" w:eastAsia="zh-CN"/>
        </w:rPr>
        <w:t>晋C09951D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