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董晓鹏</w:t>
      </w:r>
      <w:r>
        <w:rPr>
          <w:rFonts w:hint="eastAsia"/>
          <w:sz w:val="15"/>
          <w:szCs w:val="15"/>
          <w:highlight w:val="none"/>
        </w:rPr>
        <w:t>，</w:t>
      </w:r>
      <w:r>
        <w:rPr>
          <w:rFonts w:hint="eastAsia"/>
          <w:sz w:val="15"/>
          <w:szCs w:val="15"/>
          <w:highlight w:val="none"/>
          <w:lang w:val="en-US" w:eastAsia="zh-CN"/>
        </w:rPr>
        <w:t>130131198205215116</w:t>
      </w:r>
      <w:r>
        <w:rPr>
          <w:rFonts w:hint="eastAsia"/>
          <w:sz w:val="15"/>
          <w:szCs w:val="15"/>
        </w:rPr>
        <w:t xml:space="preserve">  </w:t>
      </w:r>
      <w:r>
        <w:rPr>
          <w:rFonts w:hint="eastAsia"/>
          <w:sz w:val="15"/>
          <w:szCs w:val="15"/>
          <w:lang w:val="en-US" w:eastAsia="zh-CN"/>
        </w:rPr>
        <w:t>冀AXD000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