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郭丽鹏</w:t>
      </w:r>
      <w:r>
        <w:rPr>
          <w:rFonts w:hint="eastAsia"/>
          <w:sz w:val="15"/>
          <w:szCs w:val="15"/>
          <w:highlight w:val="none"/>
        </w:rPr>
        <w:t>，</w:t>
      </w:r>
      <w:r>
        <w:rPr>
          <w:rFonts w:hint="eastAsia"/>
          <w:sz w:val="15"/>
          <w:szCs w:val="15"/>
          <w:highlight w:val="none"/>
          <w:lang w:val="en-US" w:eastAsia="zh-CN"/>
        </w:rPr>
        <w:t>130131198205140038</w:t>
      </w:r>
      <w:r>
        <w:rPr>
          <w:rFonts w:hint="eastAsia"/>
          <w:sz w:val="15"/>
          <w:szCs w:val="15"/>
        </w:rPr>
        <w:t xml:space="preserve">  </w:t>
      </w:r>
      <w:r>
        <w:rPr>
          <w:rFonts w:hint="eastAsia"/>
          <w:sz w:val="15"/>
          <w:szCs w:val="15"/>
          <w:lang w:val="en-US" w:eastAsia="zh-CN"/>
        </w:rPr>
        <w:t>冀A06868D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